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9F" w:rsidRPr="00F600DC" w:rsidRDefault="00F600DC">
      <w:pPr>
        <w:spacing w:after="0" w:line="408" w:lineRule="exact"/>
        <w:ind w:left="120"/>
        <w:jc w:val="center"/>
        <w:rPr>
          <w:lang w:val="ru-RU"/>
        </w:rPr>
      </w:pPr>
      <w:bookmarkStart w:id="0" w:name="block-29187071"/>
      <w:bookmarkEnd w:id="0"/>
      <w:r w:rsidRPr="00F600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449F" w:rsidRPr="00F600DC" w:rsidRDefault="00F600DC">
      <w:pPr>
        <w:spacing w:after="0" w:line="408" w:lineRule="exact"/>
        <w:ind w:left="120"/>
        <w:jc w:val="center"/>
        <w:rPr>
          <w:lang w:val="ru-RU"/>
        </w:rPr>
      </w:pPr>
      <w:bookmarkStart w:id="1" w:name="80962996-9eae-4b29-807c-6d440604dec5"/>
      <w:r w:rsidRPr="00F600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  <w:r w:rsidRPr="00F600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4449F" w:rsidRPr="00F600DC" w:rsidRDefault="00F600DC">
      <w:pPr>
        <w:spacing w:after="0" w:line="408" w:lineRule="exact"/>
        <w:ind w:left="120"/>
        <w:jc w:val="center"/>
        <w:rPr>
          <w:lang w:val="ru-RU"/>
        </w:rPr>
      </w:pPr>
      <w:bookmarkStart w:id="2" w:name="a244f056-0231-4322-a014-8dcea54eab13"/>
      <w:r w:rsidRPr="00F600D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2"/>
    </w:p>
    <w:p w:rsidR="0064449F" w:rsidRPr="00F600DC" w:rsidRDefault="00F600DC">
      <w:pPr>
        <w:spacing w:after="0" w:line="408" w:lineRule="exact"/>
        <w:ind w:left="120"/>
        <w:jc w:val="center"/>
        <w:rPr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64449F" w:rsidRPr="00F600DC" w:rsidRDefault="0064449F">
      <w:pPr>
        <w:spacing w:after="0"/>
        <w:ind w:left="120"/>
        <w:rPr>
          <w:lang w:val="ru-RU"/>
        </w:rPr>
      </w:pPr>
    </w:p>
    <w:p w:rsidR="0064449F" w:rsidRPr="00F600DC" w:rsidRDefault="0064449F">
      <w:pPr>
        <w:spacing w:after="0"/>
        <w:ind w:left="120"/>
        <w:rPr>
          <w:lang w:val="ru-RU"/>
        </w:rPr>
      </w:pPr>
    </w:p>
    <w:p w:rsidR="0064449F" w:rsidRPr="00F600DC" w:rsidRDefault="0064449F">
      <w:pPr>
        <w:spacing w:after="0"/>
        <w:ind w:left="120"/>
        <w:rPr>
          <w:lang w:val="ru-RU"/>
        </w:rPr>
      </w:pPr>
    </w:p>
    <w:p w:rsidR="0064449F" w:rsidRPr="00F600DC" w:rsidRDefault="0064449F">
      <w:pPr>
        <w:spacing w:after="0"/>
        <w:ind w:left="120"/>
        <w:rPr>
          <w:lang w:val="ru-RU"/>
        </w:rPr>
      </w:pPr>
    </w:p>
    <w:p w:rsidR="0064449F" w:rsidRPr="00F600DC" w:rsidRDefault="0064449F">
      <w:pPr>
        <w:spacing w:after="0"/>
        <w:ind w:left="120"/>
        <w:rPr>
          <w:lang w:val="ru-RU"/>
        </w:rPr>
      </w:pPr>
    </w:p>
    <w:p w:rsidR="0064449F" w:rsidRDefault="0064449F">
      <w:pPr>
        <w:spacing w:after="0"/>
        <w:ind w:left="120"/>
      </w:pPr>
    </w:p>
    <w:p w:rsidR="0064449F" w:rsidRDefault="0064449F">
      <w:pPr>
        <w:spacing w:after="0"/>
        <w:ind w:left="120"/>
      </w:pPr>
    </w:p>
    <w:p w:rsidR="0064449F" w:rsidRDefault="0064449F">
      <w:pPr>
        <w:spacing w:after="0"/>
        <w:ind w:left="120"/>
      </w:pPr>
    </w:p>
    <w:p w:rsidR="0064449F" w:rsidRDefault="0064449F">
      <w:pPr>
        <w:spacing w:after="0"/>
        <w:ind w:left="120"/>
      </w:pPr>
    </w:p>
    <w:p w:rsidR="0064449F" w:rsidRPr="00F600DC" w:rsidRDefault="00F600DC">
      <w:pPr>
        <w:spacing w:after="0" w:line="408" w:lineRule="exact"/>
        <w:ind w:left="120"/>
        <w:jc w:val="center"/>
        <w:rPr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64449F" w:rsidRPr="00F600DC" w:rsidRDefault="00F600DC">
      <w:pPr>
        <w:spacing w:after="0" w:line="408" w:lineRule="exact"/>
        <w:ind w:left="120"/>
        <w:jc w:val="center"/>
        <w:rPr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64449F" w:rsidRPr="00F600DC" w:rsidRDefault="00F600DC">
      <w:pPr>
        <w:spacing w:after="0" w:line="408" w:lineRule="exact"/>
        <w:ind w:left="120"/>
        <w:jc w:val="center"/>
        <w:rPr>
          <w:lang w:val="ru-RU"/>
        </w:rPr>
      </w:pPr>
      <w:r w:rsidRPr="00F600D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64449F" w:rsidRPr="00F600DC" w:rsidRDefault="0064449F">
      <w:pPr>
        <w:spacing w:after="0"/>
        <w:ind w:left="120"/>
        <w:jc w:val="center"/>
        <w:rPr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918707"/>
      <w:bookmarkEnd w:id="3"/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 w:rsidP="00F6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_GoBack"/>
      <w:bookmarkEnd w:id="4"/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DC" w:rsidRDefault="00F600DC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признаков, формулировать обратные утверждения. 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Учебный курс «Геометрия» включ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64449F" w:rsidRPr="00F600DC">
          <w:pgSz w:w="11906" w:h="16383"/>
          <w:pgMar w:top="1440" w:right="821" w:bottom="1440" w:left="630" w:header="0" w:footer="0" w:gutter="0"/>
          <w:cols w:space="720"/>
          <w:formProt w:val="0"/>
          <w:docGrid w:linePitch="100" w:charSpace="4096"/>
        </w:sectPr>
      </w:pPr>
      <w:bookmarkStart w:id="5" w:name="6c37334c-5fa9-457a-ad76-d36f127aa8c8"/>
      <w:bookmarkStart w:id="6" w:name="block-29187081"/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На изучение учебно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Start w:id="7" w:name="block-2918708"/>
      <w:bookmarkEnd w:id="5"/>
      <w:bookmarkEnd w:id="6"/>
    </w:p>
    <w:bookmarkEnd w:id="7"/>
    <w:p w:rsidR="0064449F" w:rsidRPr="00F600DC" w:rsidRDefault="00F600DC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Начальные понятия геометрии. Точка, прямая, отрезок, луч. Угол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построения с помощью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циркуля и линейки. Треугольник. Высота, медиана, биссектриса, их свойства.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Равнобедренный и равносторонний треугольники. Неравенство треугольника.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Свойства и признаки парал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лельных прямых. Сумма углов треугольника. Внешние углы треугольника.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Геометрическое место точек. Биссектриса угла и серединный перпендикуляр к отрезку как геометр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ические места точек.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8 КЛАСС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Четырёхугольники. Пар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Метод удвоения медианы. Центральная симметрия. Теор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ема Фалеса и теорема о пропорциональных отрезках.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Средние линии треугольника и трапеции. Центр масс треугольника.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Свойства площад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Вычисление площадей треугольников и многоугольников на клетчатой бумаге.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Теорема Пифагора. Применение теоремы Пифагора при реше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нии практических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Вписанные и центральные углы, угол между касательной и хордой. Углы между хорд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9 КЛАСС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Синус, косинус, тангенс углов от 0 до 180°. Основное тригонометрическое тождество. Формулы п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риведения.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Преобразование подобия. Подобие соответственных элементов.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Теорема о произведении отрезков хорд, теоремы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произведении отрезков секущих, теорема о квадрате касательной.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неколлинеарным векторам. Координаты вектора. Скалярное произведение векторов, применение для нахождения длин и углов.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именение.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64449F" w:rsidRPr="00F600DC">
          <w:pgSz w:w="11906" w:h="16383"/>
          <w:pgMar w:top="1440" w:right="866" w:bottom="1440" w:left="615" w:header="0" w:footer="0" w:gutter="0"/>
          <w:cols w:space="720"/>
          <w:formProt w:val="0"/>
          <w:docGrid w:linePitch="100" w:charSpace="4096"/>
        </w:sectPr>
      </w:pPr>
      <w:bookmarkStart w:id="8" w:name="block-29187051"/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Движения плоскости и внутренние симметрии фигур (элементарные представления).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Параллельный перенос. Поворот.</w:t>
      </w:r>
      <w:bookmarkStart w:id="9" w:name="block-2918705"/>
      <w:bookmarkEnd w:id="8"/>
    </w:p>
    <w:bookmarkEnd w:id="9"/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освоения программы учебного курса «Геометрия» характеризуются: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1) патр</w:t>
      </w: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иотическое воспитание: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2)</w:t>
      </w: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гражданское и духовно-нравственное воспитание: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установкой на активное участие в решении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 и жизненных планов с учётом личных интересов и общественных потребностей;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акономерности в искусстве;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6) физическое воспитание, формирование </w:t>
      </w: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культуры здоровья и эмоционального благополучия: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ванностью навыка рефлексии, признанием своего права на ошибку и такого же права другого человека;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готовностью к действиям в условиях неопределённости, повыш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способностью осознавать стрессовую ситуацию, воспринимать стрессовую ситуацию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Default="00F600DC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Базовые логические действия:</w:t>
      </w:r>
    </w:p>
    <w:p w:rsidR="0064449F" w:rsidRPr="00F600DC" w:rsidRDefault="00F600DC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4449F" w:rsidRPr="00F600DC" w:rsidRDefault="00F600DC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вос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принимать, формулировать и преобразовывать суждения: утвердительные и отрицательные, единичные, частные и общие, условные;</w:t>
      </w:r>
    </w:p>
    <w:p w:rsidR="0064449F" w:rsidRPr="00F600DC" w:rsidRDefault="00F600DC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для выявления закономерностей и противоречий;</w:t>
      </w:r>
    </w:p>
    <w:p w:rsidR="0064449F" w:rsidRPr="00F600DC" w:rsidRDefault="00F600DC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4449F" w:rsidRPr="00F600DC" w:rsidRDefault="00F600DC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проводить самосто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4449F" w:rsidRPr="00F600DC" w:rsidRDefault="00F600DC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одящий с учётом самостоятельно выделенных критериев).</w:t>
      </w:r>
    </w:p>
    <w:p w:rsidR="0064449F" w:rsidRDefault="00F600DC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4449F" w:rsidRPr="00F600DC" w:rsidRDefault="00F600DC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ое, формировать гипотезу, аргументировать свою позицию, мнение;</w:t>
      </w:r>
    </w:p>
    <w:p w:rsidR="0064449F" w:rsidRPr="00F600DC" w:rsidRDefault="00F600DC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4449F" w:rsidRPr="00F600DC" w:rsidRDefault="00F600DC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самостоят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4449F" w:rsidRPr="00F600DC" w:rsidRDefault="00F600DC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овых условиях.</w:t>
      </w:r>
    </w:p>
    <w:p w:rsidR="0064449F" w:rsidRDefault="00F600DC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Работа с информацией:</w:t>
      </w:r>
    </w:p>
    <w:p w:rsidR="0064449F" w:rsidRPr="00F600DC" w:rsidRDefault="00F600DC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4449F" w:rsidRPr="00F600DC" w:rsidRDefault="00F600DC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64449F" w:rsidRPr="00F600DC" w:rsidRDefault="00F600DC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выбирать форму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представления информации и иллюстрировать решаемые задачи схемами, диаграммами, иной графикой и их комбинациями;</w:t>
      </w:r>
    </w:p>
    <w:p w:rsidR="0064449F" w:rsidRPr="00F600DC" w:rsidRDefault="00F600DC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4449F" w:rsidRDefault="00F600DC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Коммуникативные универсальные учебные </w:t>
      </w:r>
      <w:r>
        <w:rPr>
          <w:rFonts w:ascii="Times New Roman" w:hAnsi="Times New Roman"/>
          <w:b/>
          <w:color w:val="000000"/>
          <w:sz w:val="28"/>
          <w:szCs w:val="28"/>
        </w:rPr>
        <w:t>действия:</w:t>
      </w:r>
    </w:p>
    <w:p w:rsidR="0064449F" w:rsidRPr="00F600DC" w:rsidRDefault="00F600DC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4449F" w:rsidRPr="00F600DC" w:rsidRDefault="00F600DC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 ход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форме формулировать разногласия, свои возражения;</w:t>
      </w:r>
    </w:p>
    <w:p w:rsidR="0064449F" w:rsidRPr="00F600DC" w:rsidRDefault="00F600DC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4449F" w:rsidRPr="00F600DC" w:rsidRDefault="00F600DC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понимать и использовать преимущес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тва командной и индивидуальной работы при решении учебных математических задач; </w:t>
      </w:r>
    </w:p>
    <w:p w:rsidR="0064449F" w:rsidRPr="00F600DC" w:rsidRDefault="00F600DC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ия нескольких людей;</w:t>
      </w:r>
    </w:p>
    <w:p w:rsidR="0064449F" w:rsidRPr="00F600DC" w:rsidRDefault="00F600DC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териям, сформулированным участниками взаимодействия.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64449F" w:rsidRPr="00F600DC" w:rsidRDefault="00F600DC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возможностей, аргументировать и корректировать варианты решений с учётом новой информации.</w:t>
      </w:r>
    </w:p>
    <w:p w:rsidR="0064449F" w:rsidRDefault="00F600DC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64449F" w:rsidRPr="00F600DC" w:rsidRDefault="00F600DC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4449F" w:rsidRPr="00F600DC" w:rsidRDefault="00F600DC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предвидеть трудности, которы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4449F" w:rsidRPr="00F600DC" w:rsidRDefault="00F600DC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едостижения цели, находить ошибку, давать оценку приобретённому опыту.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4449F" w:rsidRPr="00F600DC" w:rsidRDefault="006444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0" w:name="_Toc124426249"/>
      <w:bookmarkEnd w:id="10"/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в 7 классе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Распознавать изученные геометрические фигуры, определять их взаимное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Делать грубую оценку линейных и угловых величин предметов в реальной жизни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, размеров природных объектов. Различать размеры этих объектов по порядку величины.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Строить чертежи к геометрическим задачам.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Проводить логические рассуждения с использованием геометрических теорем.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Определять пара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Решать задачи на клетчатой бумаге.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вычисления и находить числовые и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понятием г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ойства при решении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льника пересекаются в одной точке.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Пользоваться простейшими геометрическими неравенствами, понимать их практический с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мысл.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Проводить основные геометрические построения с помощью циркуля и линейки.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в 8 классе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Распознавать основные виды четырёхугольников, их элементы, пользоваться их свойствами при решен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ии геометрических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Владеть понятием средней линии треугольника и трапеции, применять их свойства при решении геометрических задач. Пользоваться теоремой Фалеса и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теоремой о пропорциональных отрезках, применять их для решения практических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Применять признаки подобия треугольников в решении геометрических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Пользоваться теоремой Пифагора для решения геометрических и практических задач. Строить математическ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ую модель в практических задачах, самостоятельно делать чертёж и находить соответствующие длины.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Вычислять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понятиями вписанного и центрального угла, использовать теоремы о вписанных угл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ах, углах между хордами (секущими) и угле между касательной и хордой при решении геометрических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Применять полученные знания на практике –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в 9 классе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Пользоваться формулами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приведения и основным тригонометрическим тождеством для нахождения соотношений между тригонометрическими величинами.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 геометрических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х задачах. Уметь приводить примеры подобных фигур в окружающем мире.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Пользоваться векторами, понимать их геометрический и физический смысл,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Владеть понятиями пра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оси (или центры) симметрии фигур, применять движения плоскости 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в простейших случаях.</w:t>
      </w:r>
    </w:p>
    <w:p w:rsidR="0064449F" w:rsidRPr="00F600DC" w:rsidRDefault="00F600DC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64449F" w:rsidRPr="00F600DC">
          <w:pgSz w:w="11906" w:h="16383"/>
          <w:pgMar w:top="1440" w:right="881" w:bottom="1440" w:left="660" w:header="0" w:footer="0" w:gutter="0"/>
          <w:cols w:space="720"/>
          <w:formProt w:val="0"/>
          <w:docGrid w:linePitch="100" w:charSpace="4096"/>
        </w:sectPr>
      </w:pPr>
      <w:bookmarkStart w:id="11" w:name="block-29187061"/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имо, калькулятором).</w:t>
      </w:r>
      <w:bookmarkStart w:id="12" w:name="block-2918706"/>
      <w:bookmarkEnd w:id="11"/>
    </w:p>
    <w:p w:rsidR="0064449F" w:rsidRDefault="00F600DC">
      <w:pPr>
        <w:spacing w:after="0"/>
        <w:ind w:left="120"/>
        <w:jc w:val="center"/>
        <w:rPr>
          <w:sz w:val="28"/>
          <w:szCs w:val="28"/>
        </w:rPr>
      </w:pPr>
      <w:bookmarkStart w:id="13" w:name="block-2918709"/>
      <w:bookmarkEnd w:id="12"/>
      <w:bookmarkEnd w:id="13"/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64449F" w:rsidRDefault="00F600DC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697" w:type="dxa"/>
        <w:tblInd w:w="26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31"/>
        <w:gridCol w:w="3524"/>
        <w:gridCol w:w="1470"/>
        <w:gridCol w:w="2446"/>
        <w:gridCol w:w="2835"/>
        <w:gridCol w:w="3791"/>
      </w:tblGrid>
      <w:tr w:rsidR="0064449F">
        <w:trPr>
          <w:trHeight w:val="144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Простейшие геометрические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фигуры и их свойства.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геометрических величин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 знаний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>
        <w:trPr>
          <w:trHeight w:val="144"/>
        </w:trPr>
        <w:tc>
          <w:tcPr>
            <w:tcW w:w="4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4449F" w:rsidRDefault="0064449F">
      <w:pPr>
        <w:sectPr w:rsidR="0064449F">
          <w:pgSz w:w="16383" w:h="11906" w:orient="landscape"/>
          <w:pgMar w:top="1440" w:right="678" w:bottom="1440" w:left="675" w:header="0" w:footer="0" w:gutter="0"/>
          <w:cols w:space="720"/>
          <w:formProt w:val="0"/>
          <w:docGrid w:linePitch="100" w:charSpace="4096"/>
        </w:sectPr>
      </w:pPr>
    </w:p>
    <w:p w:rsidR="0064449F" w:rsidRDefault="00F600DC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3992" w:type="dxa"/>
        <w:tblInd w:w="23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1"/>
        <w:gridCol w:w="3344"/>
        <w:gridCol w:w="1710"/>
        <w:gridCol w:w="2145"/>
        <w:gridCol w:w="2325"/>
        <w:gridCol w:w="3747"/>
      </w:tblGrid>
      <w:tr w:rsidR="0064449F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Четырёхугольники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Площади подобных фигур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Пифагора и начала тригонометрии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Углы в окружности. Вписанные и описанные четырехугольники.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Касательные к окружности. Касание окружностей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 знаний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64449F">
        <w:trPr>
          <w:trHeight w:val="144"/>
        </w:trPr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4449F" w:rsidRDefault="0064449F">
      <w:pPr>
        <w:sectPr w:rsidR="0064449F">
          <w:pgSz w:w="16383" w:h="11906" w:orient="landscape"/>
          <w:pgMar w:top="1440" w:right="708" w:bottom="1440" w:left="720" w:header="0" w:footer="0" w:gutter="0"/>
          <w:cols w:space="720"/>
          <w:formProt w:val="0"/>
          <w:docGrid w:linePitch="100" w:charSpace="4096"/>
        </w:sectPr>
      </w:pPr>
    </w:p>
    <w:p w:rsidR="0064449F" w:rsidRDefault="00F600DC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547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61"/>
        <w:gridCol w:w="4019"/>
        <w:gridCol w:w="1260"/>
        <w:gridCol w:w="2776"/>
        <w:gridCol w:w="3344"/>
        <w:gridCol w:w="2487"/>
      </w:tblGrid>
      <w:tr w:rsidR="0064449F">
        <w:trPr>
          <w:trHeight w:val="144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Векторы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Декартовы координаты на плоскости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площадей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Движения плоскости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обобщение, систематизация знаний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>
        <w:trPr>
          <w:trHeight w:val="144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ЧАСОВ ПО ПРОГРАММЕ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4449F" w:rsidRDefault="0064449F">
      <w:pPr>
        <w:sectPr w:rsidR="0064449F">
          <w:pgSz w:w="16383" w:h="11906" w:orient="landscape"/>
          <w:pgMar w:top="1440" w:right="708" w:bottom="1440" w:left="720" w:header="0" w:footer="0" w:gutter="0"/>
          <w:cols w:space="720"/>
          <w:formProt w:val="0"/>
          <w:docGrid w:linePitch="100" w:charSpace="4096"/>
        </w:sectPr>
      </w:pPr>
    </w:p>
    <w:p w:rsidR="0064449F" w:rsidRDefault="0064449F">
      <w:pPr>
        <w:spacing w:after="0"/>
        <w:jc w:val="center"/>
        <w:rPr>
          <w:sz w:val="28"/>
          <w:szCs w:val="28"/>
        </w:rPr>
      </w:pPr>
    </w:p>
    <w:p w:rsidR="0064449F" w:rsidRDefault="00F600DC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64449F" w:rsidRDefault="00F600DC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502" w:type="dxa"/>
        <w:tblInd w:w="23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36"/>
        <w:gridCol w:w="3389"/>
        <w:gridCol w:w="2101"/>
        <w:gridCol w:w="2100"/>
        <w:gridCol w:w="2887"/>
        <w:gridCol w:w="3289"/>
      </w:tblGrid>
      <w:tr w:rsidR="0064449F">
        <w:trPr>
          <w:trHeight w:val="144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Простейшие геометрические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Многоугольник, ломаная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вертикальные углы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Измерение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линейных и угловых величин, вычисление отрезков и углов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Измерение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линейных и угловых величин, вычисление отрезков и углов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Понятие о равных треугольниках и первичные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представления о равных фигурах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равенства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равенства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равенства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равенства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равенства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равенства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Свойство медианы прямоугольного треугольника, проведённой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 гипотенузе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Равнобедренные и равносторонние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треугольники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fa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Признаки и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свойства равнобедренного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 в геометрии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 в геометрии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Неравенства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 в геометрии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Прямоугольный треугольник с углом в 30°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Прямоугольный треугольник с углом в 30°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"Треугольники"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ecbc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 прямые, их свойства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Пятый постулат Евклида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086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Накрест лежащие, соответственные 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односторонние углы, образованные при пересечении параллельных п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рямых секущей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прямых секущей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Признак параллельности прямых через равенство расстояний от точек одной прямой до второй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прямой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Признак параллельности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Внешние углы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Внешние углы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Окружность, хорды 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диаметр, их свойства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/88670800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Окружность, вписанная в угол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Окружность, вписанная в угол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Понятие о ГМТ, применение в задачах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Понятие о ГМТ, применение в задачах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/88670508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Окружность, описанная около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62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Окружность, описанная около треугольника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Простейшие задачи на построение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/88671188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Простейшие задачи на построение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построения"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/88671462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64449F">
        <w:trPr>
          <w:trHeight w:val="144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64449F">
            <w:pPr>
              <w:widowControl w:val="0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3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64449F" w:rsidRDefault="0064449F">
      <w:pPr>
        <w:sectPr w:rsidR="0064449F">
          <w:pgSz w:w="16383" w:h="11906" w:orient="landscape"/>
          <w:pgMar w:top="1440" w:right="708" w:bottom="1440" w:left="765" w:header="0" w:footer="0" w:gutter="0"/>
          <w:cols w:space="720"/>
          <w:formProt w:val="0"/>
          <w:docGrid w:linePitch="100" w:charSpace="4096"/>
        </w:sectPr>
      </w:pPr>
    </w:p>
    <w:p w:rsidR="0064449F" w:rsidRDefault="00F600DC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547" w:type="dxa"/>
        <w:tblInd w:w="29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74"/>
        <w:gridCol w:w="4187"/>
        <w:gridCol w:w="1590"/>
        <w:gridCol w:w="1815"/>
        <w:gridCol w:w="3570"/>
        <w:gridCol w:w="2711"/>
      </w:tblGrid>
      <w:tr w:rsidR="0064449F">
        <w:trPr>
          <w:trHeight w:val="144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Параллелограмм, его признаки и 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Параллелограмм, его признаки и 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Параллелограмм, его признаки и 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Частные случаи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Частные случаи параллелограммов (прямоугольник, ромб,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квадрат), их признаки и свой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Трапеция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/88672358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Равнобокая и прямоугольная трапеции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Равнобокая и прямоугольная трапеции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/88672858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 удвоения медианы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симметрия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Четырёхугольники"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Трапеция, её средняя линия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/88672358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Трапеция, её средняя линия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/88673064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/88673794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/88673794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 масс в треугольнике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подобия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подобия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признака подобия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"Подобные треугольники"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/88674860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Свойства площадей геометрических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Формулы для площади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треугольника, параллелограмма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/88675288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площадей сложных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8674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Площади фигур на клетчатой бумаге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Площади подобных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Площади подобных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с практическим содержанием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/88675558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с практическим содержанием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/88675684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теме "Площадь"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Пифагора и её применение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/88675918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Теорема Пифагора и её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применение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/88675918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Пифагора и её применение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abc</w:t>
              </w:r>
            </w:hyperlink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Пифагора и её применение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Пифагора и её применение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треугольнике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тригонометрическое тождество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тригонометрическое тождество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тригонометрическое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тождество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Вписанные и центральные углы, угол между касательной 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хордой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141940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Углы между хордами и секущими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Углы между хордами и секущими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Вписанные и описанные четырёхугольники, их признаки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 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1416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Вписанные и описанные четырёхугольники, их признаки 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Применение свойств вписанных 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описанных четырёхугольников при решении геометрических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Касание окружностей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Вписанные и описанные четырехугольники"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142368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64449F">
        <w:trPr>
          <w:trHeight w:val="144"/>
        </w:trPr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64449F">
            <w:pPr>
              <w:widowControl w:val="0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64449F" w:rsidRDefault="0064449F">
      <w:pPr>
        <w:sectPr w:rsidR="0064449F">
          <w:pgSz w:w="16383" w:h="11906" w:orient="landscape"/>
          <w:pgMar w:top="1440" w:right="708" w:bottom="1440" w:left="810" w:header="0" w:footer="0" w:gutter="0"/>
          <w:cols w:space="720"/>
          <w:formProt w:val="0"/>
          <w:docGrid w:linePitch="100" w:charSpace="4096"/>
        </w:sectPr>
      </w:pPr>
    </w:p>
    <w:p w:rsidR="0064449F" w:rsidRDefault="00F600DC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57" w:type="dxa"/>
        <w:tblInd w:w="38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31"/>
        <w:gridCol w:w="4139"/>
        <w:gridCol w:w="1590"/>
        <w:gridCol w:w="1861"/>
        <w:gridCol w:w="3524"/>
        <w:gridCol w:w="2712"/>
      </w:tblGrid>
      <w:tr w:rsidR="0064449F">
        <w:trPr>
          <w:trHeight w:val="144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9F" w:rsidRDefault="0064449F">
            <w:pPr>
              <w:widowControl w:val="0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тригонометрических функций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углов от 0° до 180°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 приведения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Теорема косинусов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Теорема косинусов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Теорема косинусов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Теорема 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Теорема 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Теорема 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треугольников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Практическое применение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 синусов и косинусов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14392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преобразовании подобия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Соответственные элементы подобных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Соответственные элементы подобных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Теорема о произведении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отрезков хорд, теорема о произведении отрезков секущих, теорема о квадрате касательной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Теорема о произведении отрезков хорд, теорема о произведении отрез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ков секущих, теорема о квадрате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касательной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теорем в решении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геометрических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144578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Метрические соотношения в окружности"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144960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Сложение 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вычитание векторов, умножение вектора на число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Сложение и вычитание векторов, умножение вектора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 число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144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 вектора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помощью векторов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помощью векторов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Применение векторов для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решения задач физики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"Векторы"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Декартовы координаты точек на плоскости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Уравнение прямой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Уравнение прямой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Уравнение окружности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146620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Метод координат при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решении геометрических задач, практических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fda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π. Длина окружности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π. Длина окружности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Длина дуги окружности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Радианная мера угла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круга, сектора, сегмента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147426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круга, сектора, сегмента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147750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круга, сектора, сегмента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147750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движении плоскости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Параллельный перенос, поворот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Параллельный перенос, поворот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Параллельный перенос, поворот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Параллельный перенос, поворот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движений при решении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Окружность. Движения плоскости"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148524</w:t>
              </w:r>
            </w:hyperlink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</w:t>
            </w: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148650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построения. Углы в окружности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 w:rsidRPr="00F600DC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600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148920</w:t>
              </w:r>
            </w:hyperlink>
          </w:p>
        </w:tc>
      </w:tr>
      <w:tr w:rsidR="0064449F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обобщение, систематизация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4449F">
        <w:trPr>
          <w:trHeight w:val="144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Pr="00F600DC" w:rsidRDefault="00F600DC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600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F600DC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49F" w:rsidRDefault="006444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64449F" w:rsidRDefault="0064449F">
      <w:pPr>
        <w:sectPr w:rsidR="0064449F">
          <w:pgSz w:w="16383" w:h="11906" w:orient="landscape"/>
          <w:pgMar w:top="1440" w:right="708" w:bottom="1440" w:left="810" w:header="0" w:footer="0" w:gutter="0"/>
          <w:cols w:space="720"/>
          <w:formProt w:val="0"/>
          <w:docGrid w:linePitch="100" w:charSpace="4096"/>
        </w:sectPr>
      </w:pPr>
    </w:p>
    <w:p w:rsidR="0064449F" w:rsidRDefault="0064449F">
      <w:pPr>
        <w:spacing w:after="0"/>
        <w:rPr>
          <w:sz w:val="28"/>
          <w:szCs w:val="28"/>
        </w:rPr>
      </w:pPr>
    </w:p>
    <w:p w:rsidR="0064449F" w:rsidRDefault="00F600DC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УЧЕБНО-МЕТОДИЧЕСКОЕ ОБЕСПЕЧЕНИЕ ОБРАЗОВАТЕЛЬНОГО ПРОЦЕССА</w:t>
      </w:r>
    </w:p>
    <w:p w:rsidR="0064449F" w:rsidRDefault="00F600DC">
      <w:pPr>
        <w:spacing w:after="0" w:line="480" w:lineRule="exact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  <w:szCs w:val="28"/>
        </w:rPr>
        <w:t>ДЛЯ УЧЕНИКА</w:t>
      </w:r>
    </w:p>
    <w:p w:rsidR="0064449F" w:rsidRPr="00F600DC" w:rsidRDefault="00F600DC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14" w:name="acdc3876-571e-4ea9-a1d0-6bf3dde3985b"/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4"/>
    </w:p>
    <w:p w:rsidR="0064449F" w:rsidRPr="00F600DC" w:rsidRDefault="0064449F">
      <w:pPr>
        <w:spacing w:after="0" w:line="480" w:lineRule="exact"/>
        <w:ind w:left="120"/>
        <w:rPr>
          <w:sz w:val="28"/>
          <w:szCs w:val="28"/>
          <w:lang w:val="ru-RU"/>
        </w:rPr>
      </w:pPr>
    </w:p>
    <w:p w:rsidR="0064449F" w:rsidRPr="00F600DC" w:rsidRDefault="0064449F">
      <w:pPr>
        <w:spacing w:after="0"/>
        <w:ind w:left="120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480" w:lineRule="exact"/>
        <w:ind w:left="120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4449F" w:rsidRPr="00F600DC" w:rsidRDefault="00F600DC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15" w:name="810f2c24-8c1c-4af1-98b4-b34d2846533f"/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УМК "Геометрия 7-9 классы"</w:t>
      </w:r>
      <w:bookmarkEnd w:id="15"/>
    </w:p>
    <w:p w:rsidR="0064449F" w:rsidRPr="00F600DC" w:rsidRDefault="0064449F">
      <w:pPr>
        <w:spacing w:after="0"/>
        <w:ind w:left="120"/>
        <w:rPr>
          <w:sz w:val="28"/>
          <w:szCs w:val="28"/>
          <w:lang w:val="ru-RU"/>
        </w:rPr>
      </w:pPr>
    </w:p>
    <w:p w:rsidR="0064449F" w:rsidRPr="00F600DC" w:rsidRDefault="00F600DC">
      <w:pPr>
        <w:spacing w:after="0" w:line="480" w:lineRule="exact"/>
        <w:ind w:left="120"/>
        <w:rPr>
          <w:sz w:val="28"/>
          <w:szCs w:val="28"/>
          <w:lang w:val="ru-RU"/>
        </w:rPr>
      </w:pP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ЦИФРОВЫЕ ОБРАЗОВАТЕЛЬНЫЕ РЕСУРСЫ И РЕСУРСЫ СЕТИ </w:t>
      </w:r>
      <w:r w:rsidRPr="00F600DC">
        <w:rPr>
          <w:rFonts w:ascii="Times New Roman" w:hAnsi="Times New Roman"/>
          <w:b/>
          <w:color w:val="000000"/>
          <w:sz w:val="28"/>
          <w:szCs w:val="28"/>
          <w:lang w:val="ru-RU"/>
        </w:rPr>
        <w:t>ИНТЕРНЕТ</w:t>
      </w:r>
    </w:p>
    <w:p w:rsidR="0064449F" w:rsidRPr="00F600DC" w:rsidRDefault="00F600DC">
      <w:pPr>
        <w:spacing w:after="0" w:line="480" w:lineRule="exact"/>
        <w:ind w:left="120"/>
        <w:rPr>
          <w:sz w:val="28"/>
          <w:szCs w:val="28"/>
          <w:lang w:val="ru-RU"/>
        </w:rPr>
        <w:sectPr w:rsidR="0064449F" w:rsidRPr="00F600D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6" w:name="block-29187111"/>
      <w:bookmarkStart w:id="17" w:name="0cfb5cb7-6334-48ba-8ea7-205ab2d8be80"/>
      <w:r>
        <w:rPr>
          <w:rFonts w:ascii="Times New Roman" w:hAnsi="Times New Roman"/>
          <w:color w:val="000000"/>
          <w:sz w:val="28"/>
          <w:szCs w:val="28"/>
        </w:rPr>
        <w:t>http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www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mccme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window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edu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window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edu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window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method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www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edu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r w:rsidRPr="00F600DC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Start w:id="18" w:name="0cfb5cb7-6334-48ba-8ea7-205ab2d8be801"/>
      <w:bookmarkStart w:id="19" w:name="block-2918711"/>
      <w:bookmarkEnd w:id="16"/>
      <w:bookmarkEnd w:id="17"/>
      <w:bookmarkEnd w:id="18"/>
    </w:p>
    <w:bookmarkEnd w:id="19"/>
    <w:p w:rsidR="0064449F" w:rsidRPr="00F600DC" w:rsidRDefault="0064449F">
      <w:pPr>
        <w:rPr>
          <w:sz w:val="28"/>
          <w:szCs w:val="28"/>
          <w:lang w:val="ru-RU"/>
        </w:rPr>
      </w:pPr>
    </w:p>
    <w:sectPr w:rsidR="0064449F" w:rsidRPr="00F600DC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2D6C"/>
    <w:multiLevelType w:val="multilevel"/>
    <w:tmpl w:val="A80698F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A2594E"/>
    <w:multiLevelType w:val="multilevel"/>
    <w:tmpl w:val="86A853D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DB2660"/>
    <w:multiLevelType w:val="multilevel"/>
    <w:tmpl w:val="CE8C8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3F1CD6"/>
    <w:multiLevelType w:val="multilevel"/>
    <w:tmpl w:val="01F44A7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376D92"/>
    <w:multiLevelType w:val="multilevel"/>
    <w:tmpl w:val="85C8BCF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2461FD"/>
    <w:multiLevelType w:val="multilevel"/>
    <w:tmpl w:val="F2D473E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A2474"/>
    <w:multiLevelType w:val="multilevel"/>
    <w:tmpl w:val="757C9E2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64449F"/>
    <w:rsid w:val="0064449F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B54A-FFF3-415D-B7F3-8633F4F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860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7348</Words>
  <Characters>41889</Characters>
  <Application>Microsoft Office Word</Application>
  <DocSecurity>0</DocSecurity>
  <Lines>349</Lines>
  <Paragraphs>98</Paragraphs>
  <ScaleCrop>false</ScaleCrop>
  <Company/>
  <LinksUpToDate>false</LinksUpToDate>
  <CharactersWithSpaces>49139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5</cp:revision>
  <dcterms:created xsi:type="dcterms:W3CDTF">2023-10-11T13:32:00Z</dcterms:created>
  <dcterms:modified xsi:type="dcterms:W3CDTF">2023-10-11T13:33:00Z</dcterms:modified>
  <dc:language>ru-RU</dc:language>
</cp:coreProperties>
</file>